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6E0AD4" w:rsidP="00E653D5">
      <w:pPr>
        <w:spacing w:after="0" w:line="480" w:lineRule="auto"/>
        <w:jc w:val="center"/>
        <w:rPr>
          <w:rFonts w:ascii="Times New Roman" w:eastAsia="Times New Roman" w:hAnsi="Times New Roman" w:cs="Times New Roman"/>
          <w:color w:val="000000"/>
          <w:sz w:val="24"/>
          <w:szCs w:val="24"/>
        </w:rPr>
      </w:pPr>
      <w:r w:rsidRPr="00E537A1">
        <w:rPr>
          <w:rFonts w:ascii="Times New Roman" w:eastAsia="Times New Roman" w:hAnsi="Times New Roman" w:cs="Times New Roman"/>
          <w:color w:val="000000"/>
          <w:sz w:val="24"/>
          <w:szCs w:val="24"/>
        </w:rPr>
        <w:t>Physician-Patience Conveyance</w:t>
      </w:r>
    </w:p>
    <w:p w:rsidR="00E653D5" w:rsidRPr="00E537A1" w:rsidRDefault="006E0AD4" w:rsidP="00E653D5">
      <w:pPr>
        <w:spacing w:after="0" w:line="480" w:lineRule="auto"/>
        <w:jc w:val="center"/>
        <w:rPr>
          <w:rFonts w:ascii="Times New Roman" w:eastAsia="Times New Roman" w:hAnsi="Times New Roman" w:cs="Times New Roman"/>
          <w:color w:val="000000"/>
          <w:sz w:val="24"/>
          <w:szCs w:val="24"/>
        </w:rPr>
      </w:pPr>
      <w:r w:rsidRPr="00E537A1">
        <w:rPr>
          <w:rFonts w:ascii="Times New Roman" w:eastAsia="Times New Roman" w:hAnsi="Times New Roman" w:cs="Times New Roman"/>
          <w:color w:val="000000"/>
          <w:sz w:val="24"/>
          <w:szCs w:val="24"/>
        </w:rPr>
        <w:t>Name</w:t>
      </w:r>
    </w:p>
    <w:p w:rsidR="00E653D5" w:rsidRPr="00E537A1" w:rsidRDefault="006E0AD4" w:rsidP="00E653D5">
      <w:pPr>
        <w:spacing w:after="0" w:line="480" w:lineRule="auto"/>
        <w:jc w:val="center"/>
        <w:rPr>
          <w:rFonts w:ascii="Times New Roman" w:eastAsia="Times New Roman" w:hAnsi="Times New Roman" w:cs="Times New Roman"/>
          <w:color w:val="000000"/>
          <w:sz w:val="24"/>
          <w:szCs w:val="24"/>
        </w:rPr>
      </w:pPr>
      <w:r w:rsidRPr="00E537A1">
        <w:rPr>
          <w:rFonts w:ascii="Times New Roman" w:eastAsia="Times New Roman" w:hAnsi="Times New Roman" w:cs="Times New Roman"/>
          <w:color w:val="000000"/>
          <w:sz w:val="24"/>
          <w:szCs w:val="24"/>
        </w:rPr>
        <w:t>Institutional Affiliation</w:t>
      </w: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E537A1" w:rsidRDefault="00E653D5" w:rsidP="00E653D5">
      <w:pPr>
        <w:spacing w:after="0" w:line="480" w:lineRule="auto"/>
        <w:jc w:val="center"/>
        <w:rPr>
          <w:rFonts w:ascii="Times New Roman" w:eastAsia="Times New Roman" w:hAnsi="Times New Roman" w:cs="Times New Roman"/>
          <w:color w:val="000000"/>
          <w:sz w:val="24"/>
          <w:szCs w:val="24"/>
        </w:rPr>
      </w:pPr>
    </w:p>
    <w:p w:rsidR="00E653D5" w:rsidRPr="00553A9B" w:rsidRDefault="006E0AD4" w:rsidP="00553A9B">
      <w:pPr>
        <w:pStyle w:val="ListParagraph"/>
        <w:numPr>
          <w:ilvl w:val="0"/>
          <w:numId w:val="6"/>
        </w:numPr>
        <w:spacing w:after="0" w:line="480" w:lineRule="auto"/>
        <w:rPr>
          <w:rFonts w:ascii="Times New Roman" w:eastAsia="Times New Roman" w:hAnsi="Times New Roman" w:cs="Times New Roman"/>
          <w:b/>
          <w:color w:val="000000"/>
          <w:sz w:val="28"/>
          <w:szCs w:val="28"/>
        </w:rPr>
      </w:pPr>
      <w:r w:rsidRPr="00553A9B">
        <w:rPr>
          <w:rFonts w:ascii="Times New Roman" w:eastAsia="Times New Roman" w:hAnsi="Times New Roman" w:cs="Times New Roman"/>
          <w:b/>
          <w:color w:val="000000"/>
          <w:sz w:val="28"/>
          <w:szCs w:val="28"/>
        </w:rPr>
        <w:lastRenderedPageBreak/>
        <w:t>Physician-Patience Conveyance</w:t>
      </w:r>
    </w:p>
    <w:p w:rsidR="0077694C" w:rsidRPr="00E537A1" w:rsidRDefault="006E0AD4" w:rsidP="006E5861">
      <w:pPr>
        <w:pStyle w:val="ListParagraph"/>
        <w:numPr>
          <w:ilvl w:val="0"/>
          <w:numId w:val="1"/>
        </w:numPr>
        <w:spacing w:after="0" w:line="480" w:lineRule="auto"/>
        <w:jc w:val="both"/>
        <w:rPr>
          <w:rFonts w:ascii="Times New Roman" w:eastAsia="Times New Roman" w:hAnsi="Times New Roman" w:cs="Times New Roman"/>
          <w:b/>
          <w:color w:val="000000"/>
          <w:sz w:val="24"/>
          <w:szCs w:val="24"/>
        </w:rPr>
      </w:pPr>
      <w:r w:rsidRPr="00E537A1">
        <w:rPr>
          <w:rFonts w:ascii="Times New Roman" w:eastAsia="Times New Roman" w:hAnsi="Times New Roman" w:cs="Times New Roman"/>
          <w:b/>
          <w:color w:val="000000"/>
          <w:sz w:val="24"/>
          <w:szCs w:val="24"/>
        </w:rPr>
        <w:t>Discussion Questions on Clinical Information Systems</w:t>
      </w:r>
    </w:p>
    <w:p w:rsidR="0077694C" w:rsidRPr="00E537A1" w:rsidRDefault="006E0AD4" w:rsidP="00E653D5">
      <w:pPr>
        <w:spacing w:after="0" w:line="480" w:lineRule="auto"/>
        <w:ind w:firstLine="720"/>
        <w:rPr>
          <w:rFonts w:ascii="Times New Roman" w:eastAsia="Times New Roman" w:hAnsi="Times New Roman" w:cs="Times New Roman"/>
          <w:color w:val="000000"/>
          <w:sz w:val="24"/>
          <w:szCs w:val="24"/>
        </w:rPr>
      </w:pPr>
      <w:r w:rsidRPr="00E537A1">
        <w:rPr>
          <w:rFonts w:ascii="Times New Roman" w:eastAsia="Times New Roman" w:hAnsi="Times New Roman" w:cs="Times New Roman"/>
          <w:color w:val="000000"/>
          <w:sz w:val="24"/>
          <w:szCs w:val="24"/>
        </w:rPr>
        <w:t>Regarding the proclamations of the statement, I agree. However, I criticize the speculations with this to say. Mapping the local terms to sta</w:t>
      </w:r>
      <w:r w:rsidR="0069152D">
        <w:rPr>
          <w:rFonts w:ascii="Times New Roman" w:eastAsia="Times New Roman" w:hAnsi="Times New Roman" w:cs="Times New Roman"/>
          <w:color w:val="000000"/>
          <w:sz w:val="24"/>
          <w:szCs w:val="24"/>
        </w:rPr>
        <w:t>ndard vocabularies is intricate. Also,</w:t>
      </w:r>
      <w:r w:rsidRPr="00E537A1">
        <w:rPr>
          <w:rFonts w:ascii="Times New Roman" w:eastAsia="Times New Roman" w:hAnsi="Times New Roman" w:cs="Times New Roman"/>
          <w:color w:val="000000"/>
          <w:sz w:val="24"/>
          <w:szCs w:val="24"/>
        </w:rPr>
        <w:t xml:space="preserve"> depends on demanding </w:t>
      </w:r>
      <w:r w:rsidR="0069152D" w:rsidRPr="00E537A1">
        <w:rPr>
          <w:rFonts w:ascii="Times New Roman" w:eastAsia="Times New Roman" w:hAnsi="Times New Roman" w:cs="Times New Roman"/>
          <w:color w:val="000000"/>
          <w:sz w:val="24"/>
          <w:szCs w:val="24"/>
        </w:rPr>
        <w:t>foundation</w:t>
      </w:r>
      <w:r w:rsidRPr="00E537A1">
        <w:rPr>
          <w:rFonts w:ascii="Times New Roman" w:eastAsia="Times New Roman" w:hAnsi="Times New Roman" w:cs="Times New Roman"/>
          <w:color w:val="000000"/>
          <w:sz w:val="24"/>
          <w:szCs w:val="24"/>
        </w:rPr>
        <w:t xml:space="preserve"> </w:t>
      </w:r>
      <w:r w:rsidRPr="00E537A1">
        <w:rPr>
          <w:rFonts w:ascii="Times New Roman" w:hAnsi="Times New Roman" w:cs="Times New Roman"/>
          <w:color w:val="222222"/>
          <w:sz w:val="24"/>
          <w:szCs w:val="24"/>
          <w:shd w:val="clear" w:color="auto" w:fill="FFFFFF"/>
        </w:rPr>
        <w:t>(Lin, Vreeman, McDonald, &amp; Huff, 2011)</w:t>
      </w:r>
      <w:r w:rsidRPr="00E537A1">
        <w:rPr>
          <w:rFonts w:ascii="Times New Roman" w:eastAsia="Times New Roman" w:hAnsi="Times New Roman" w:cs="Times New Roman"/>
          <w:color w:val="000000"/>
          <w:sz w:val="24"/>
          <w:szCs w:val="24"/>
        </w:rPr>
        <w:t>. Even prac</w:t>
      </w:r>
      <w:r w:rsidRPr="00E537A1">
        <w:rPr>
          <w:rFonts w:ascii="Times New Roman" w:eastAsia="Times New Roman" w:hAnsi="Times New Roman" w:cs="Times New Roman"/>
          <w:color w:val="000000"/>
          <w:sz w:val="24"/>
          <w:szCs w:val="24"/>
        </w:rPr>
        <w:t>titioners and research facility workforce with a reputable understanding of the tests at their organization regularly come up short on the specific information required to map the entire local conceptions to standard vocabularies effectively. Local test na</w:t>
      </w:r>
      <w:r w:rsidRPr="00E537A1">
        <w:rPr>
          <w:rFonts w:ascii="Times New Roman" w:eastAsia="Times New Roman" w:hAnsi="Times New Roman" w:cs="Times New Roman"/>
          <w:color w:val="000000"/>
          <w:sz w:val="24"/>
          <w:szCs w:val="24"/>
        </w:rPr>
        <w:t>mes are frequently seen to lack information expected to recognize the right standard concept correctly.</w:t>
      </w:r>
      <w:r w:rsidRPr="00E537A1">
        <w:rPr>
          <w:rFonts w:ascii="Times New Roman" w:eastAsia="Times New Roman" w:hAnsi="Times New Roman" w:cs="Times New Roman"/>
          <w:color w:val="FF0000"/>
          <w:sz w:val="24"/>
          <w:szCs w:val="24"/>
        </w:rPr>
        <w:t xml:space="preserve"> </w:t>
      </w:r>
    </w:p>
    <w:p w:rsidR="0077694C" w:rsidRPr="00E537A1" w:rsidRDefault="006E0AD4" w:rsidP="00E653D5">
      <w:pPr>
        <w:spacing w:after="0" w:line="480" w:lineRule="auto"/>
        <w:ind w:firstLine="720"/>
        <w:rPr>
          <w:rFonts w:ascii="Times New Roman" w:eastAsia="Times New Roman" w:hAnsi="Times New Roman" w:cs="Times New Roman"/>
          <w:color w:val="000000"/>
          <w:sz w:val="24"/>
          <w:szCs w:val="24"/>
        </w:rPr>
      </w:pPr>
      <w:r w:rsidRPr="00E537A1">
        <w:rPr>
          <w:rFonts w:ascii="Times New Roman" w:eastAsia="Times New Roman" w:hAnsi="Times New Roman" w:cs="Times New Roman"/>
          <w:color w:val="000000"/>
          <w:sz w:val="24"/>
          <w:szCs w:val="24"/>
        </w:rPr>
        <w:t>On the other hand, a few studies</w:t>
      </w:r>
      <w:r w:rsidRPr="00E537A1">
        <w:rPr>
          <w:rFonts w:ascii="Times New Roman" w:eastAsia="Times New Roman" w:hAnsi="Times New Roman" w:cs="Times New Roman"/>
          <w:color w:val="FF0000"/>
          <w:sz w:val="24"/>
          <w:szCs w:val="24"/>
        </w:rPr>
        <w:t xml:space="preserve"> </w:t>
      </w:r>
      <w:r w:rsidRPr="00E537A1">
        <w:rPr>
          <w:rFonts w:ascii="Times New Roman" w:eastAsia="Times New Roman" w:hAnsi="Times New Roman" w:cs="Times New Roman"/>
          <w:color w:val="000000"/>
          <w:sz w:val="24"/>
          <w:szCs w:val="24"/>
        </w:rPr>
        <w:t>have considere</w:t>
      </w:r>
      <w:r w:rsidR="00ED55F0">
        <w:rPr>
          <w:rFonts w:ascii="Times New Roman" w:eastAsia="Times New Roman" w:hAnsi="Times New Roman" w:cs="Times New Roman"/>
          <w:color w:val="000000"/>
          <w:sz w:val="24"/>
          <w:szCs w:val="24"/>
        </w:rPr>
        <w:t>d distinctive computerized concepts that</w:t>
      </w:r>
      <w:r w:rsidRPr="00E537A1">
        <w:rPr>
          <w:rFonts w:ascii="Times New Roman" w:eastAsia="Times New Roman" w:hAnsi="Times New Roman" w:cs="Times New Roman"/>
          <w:color w:val="000000"/>
          <w:sz w:val="24"/>
          <w:szCs w:val="24"/>
        </w:rPr>
        <w:t xml:space="preserve"> </w:t>
      </w:r>
      <w:r w:rsidR="00ED55F0">
        <w:rPr>
          <w:rFonts w:ascii="Times New Roman" w:eastAsia="Times New Roman" w:hAnsi="Times New Roman" w:cs="Times New Roman"/>
          <w:color w:val="000000"/>
          <w:sz w:val="24"/>
          <w:szCs w:val="24"/>
        </w:rPr>
        <w:t>support to map</w:t>
      </w:r>
      <w:r w:rsidRPr="00E537A1">
        <w:rPr>
          <w:rFonts w:ascii="Times New Roman" w:eastAsia="Times New Roman" w:hAnsi="Times New Roman" w:cs="Times New Roman"/>
          <w:color w:val="000000"/>
          <w:sz w:val="24"/>
          <w:szCs w:val="24"/>
        </w:rPr>
        <w:t xml:space="preserve"> local research centre </w:t>
      </w:r>
      <w:r w:rsidR="00F40B67" w:rsidRPr="00E537A1">
        <w:rPr>
          <w:rFonts w:ascii="Times New Roman" w:eastAsia="Times New Roman" w:hAnsi="Times New Roman" w:cs="Times New Roman"/>
          <w:color w:val="000000"/>
          <w:sz w:val="24"/>
          <w:szCs w:val="24"/>
        </w:rPr>
        <w:t>examinations</w:t>
      </w:r>
      <w:r w:rsidRPr="00E537A1">
        <w:rPr>
          <w:rFonts w:ascii="Times New Roman" w:eastAsia="Times New Roman" w:hAnsi="Times New Roman" w:cs="Times New Roman"/>
          <w:color w:val="000000"/>
          <w:sz w:val="24"/>
          <w:szCs w:val="24"/>
        </w:rPr>
        <w:t xml:space="preserve"> to LOINC (</w:t>
      </w:r>
      <w:r w:rsidRPr="00E537A1">
        <w:rPr>
          <w:rFonts w:ascii="Times New Roman" w:hAnsi="Times New Roman" w:cs="Times New Roman"/>
          <w:color w:val="222222"/>
          <w:sz w:val="24"/>
          <w:szCs w:val="24"/>
          <w:shd w:val="clear" w:color="auto" w:fill="FFFFFF"/>
        </w:rPr>
        <w:t>Stram</w:t>
      </w:r>
      <w:r w:rsidRPr="00E537A1">
        <w:rPr>
          <w:rFonts w:ascii="Times New Roman" w:hAnsi="Times New Roman" w:cs="Times New Roman"/>
          <w:color w:val="222222"/>
          <w:sz w:val="24"/>
          <w:szCs w:val="24"/>
          <w:shd w:val="clear" w:color="auto" w:fill="FFFFFF"/>
        </w:rPr>
        <w:t xml:space="preserve"> et al., 2020). </w:t>
      </w:r>
      <w:r w:rsidRPr="00E537A1">
        <w:rPr>
          <w:rFonts w:ascii="Times New Roman" w:eastAsia="Times New Roman" w:hAnsi="Times New Roman" w:cs="Times New Roman"/>
          <w:color w:val="000000"/>
          <w:sz w:val="24"/>
          <w:szCs w:val="24"/>
        </w:rPr>
        <w:t>Nevertheless, the expert human audit is as yet expected to resolve PC-generated candidate mappings. This is despite having the best accessible computeri</w:t>
      </w:r>
      <w:r w:rsidR="007236BB">
        <w:rPr>
          <w:rFonts w:ascii="Times New Roman" w:eastAsia="Times New Roman" w:hAnsi="Times New Roman" w:cs="Times New Roman"/>
          <w:color w:val="000000"/>
          <w:sz w:val="24"/>
          <w:szCs w:val="24"/>
        </w:rPr>
        <w:t xml:space="preserve">zed tools. Since </w:t>
      </w:r>
      <w:r w:rsidR="00410044">
        <w:rPr>
          <w:rFonts w:ascii="Times New Roman" w:eastAsia="Times New Roman" w:hAnsi="Times New Roman" w:cs="Times New Roman"/>
          <w:color w:val="000000"/>
          <w:sz w:val="24"/>
          <w:szCs w:val="24"/>
        </w:rPr>
        <w:t xml:space="preserve">both </w:t>
      </w:r>
      <w:r w:rsidRPr="00E537A1">
        <w:rPr>
          <w:rFonts w:ascii="Times New Roman" w:eastAsia="Times New Roman" w:hAnsi="Times New Roman" w:cs="Times New Roman"/>
          <w:color w:val="000000"/>
          <w:sz w:val="24"/>
          <w:szCs w:val="24"/>
        </w:rPr>
        <w:t xml:space="preserve">local and standard vocabularies progress, the </w:t>
      </w:r>
      <w:r w:rsidR="007236BB">
        <w:rPr>
          <w:rFonts w:ascii="Times New Roman" w:eastAsia="Times New Roman" w:hAnsi="Times New Roman" w:cs="Times New Roman"/>
          <w:color w:val="000000"/>
          <w:sz w:val="24"/>
          <w:szCs w:val="24"/>
        </w:rPr>
        <w:t>problem</w:t>
      </w:r>
      <w:r w:rsidRPr="00E537A1">
        <w:rPr>
          <w:rFonts w:ascii="Times New Roman" w:eastAsia="Times New Roman" w:hAnsi="Times New Roman" w:cs="Times New Roman"/>
          <w:color w:val="000000"/>
          <w:sz w:val="24"/>
          <w:szCs w:val="24"/>
        </w:rPr>
        <w:t xml:space="preserve"> of </w:t>
      </w:r>
      <w:r w:rsidRPr="00E537A1">
        <w:rPr>
          <w:rFonts w:ascii="Times New Roman" w:eastAsia="Times New Roman" w:hAnsi="Times New Roman" w:cs="Times New Roman"/>
          <w:color w:val="000000"/>
          <w:sz w:val="24"/>
          <w:szCs w:val="24"/>
        </w:rPr>
        <w:t>keeping up</w:t>
      </w:r>
      <w:r w:rsidR="007236BB">
        <w:rPr>
          <w:rFonts w:ascii="Times New Roman" w:eastAsia="Times New Roman" w:hAnsi="Times New Roman" w:cs="Times New Roman"/>
          <w:color w:val="000000"/>
          <w:sz w:val="24"/>
          <w:szCs w:val="24"/>
        </w:rPr>
        <w:t xml:space="preserve"> the mappings is </w:t>
      </w:r>
      <w:r w:rsidRPr="00E537A1">
        <w:rPr>
          <w:rFonts w:ascii="Times New Roman" w:eastAsia="Times New Roman" w:hAnsi="Times New Roman" w:cs="Times New Roman"/>
          <w:color w:val="000000"/>
          <w:sz w:val="24"/>
          <w:szCs w:val="24"/>
        </w:rPr>
        <w:t>effectively underestimated.</w:t>
      </w:r>
      <w:r w:rsidRPr="00E537A1">
        <w:rPr>
          <w:rFonts w:ascii="Times New Roman" w:eastAsia="Times New Roman" w:hAnsi="Times New Roman" w:cs="Times New Roman"/>
          <w:color w:val="FF0000"/>
          <w:sz w:val="24"/>
          <w:szCs w:val="24"/>
        </w:rPr>
        <w:t xml:space="preserve"> </w:t>
      </w:r>
      <w:r w:rsidRPr="00E537A1">
        <w:rPr>
          <w:rFonts w:ascii="Times New Roman" w:eastAsia="Times New Roman" w:hAnsi="Times New Roman" w:cs="Times New Roman"/>
          <w:color w:val="000000"/>
          <w:sz w:val="24"/>
          <w:szCs w:val="24"/>
        </w:rPr>
        <w:t>Thus, all healthcare institutions require individuals, procedures, and devices to aid in mapping deeds</w:t>
      </w:r>
      <w:r w:rsidR="000117D8" w:rsidRPr="00E537A1">
        <w:rPr>
          <w:rFonts w:ascii="Times New Roman" w:eastAsia="Times New Roman" w:hAnsi="Times New Roman" w:cs="Times New Roman"/>
          <w:color w:val="000000"/>
          <w:sz w:val="24"/>
          <w:szCs w:val="24"/>
        </w:rPr>
        <w:t xml:space="preserve"> (</w:t>
      </w:r>
      <w:r w:rsidR="000117D8" w:rsidRPr="00E537A1">
        <w:rPr>
          <w:rFonts w:ascii="Times New Roman" w:hAnsi="Times New Roman" w:cs="Times New Roman"/>
          <w:color w:val="000000"/>
          <w:sz w:val="24"/>
          <w:szCs w:val="24"/>
          <w:shd w:val="clear" w:color="auto" w:fill="FFFFFF"/>
        </w:rPr>
        <w:t>Demiris 2016).</w:t>
      </w:r>
      <w:r w:rsidRPr="00E537A1">
        <w:rPr>
          <w:rFonts w:ascii="Times New Roman" w:eastAsia="Times New Roman" w:hAnsi="Times New Roman" w:cs="Times New Roman"/>
          <w:color w:val="000000"/>
          <w:sz w:val="24"/>
          <w:szCs w:val="24"/>
        </w:rPr>
        <w:t xml:space="preserve"> </w:t>
      </w:r>
    </w:p>
    <w:p w:rsidR="0077694C" w:rsidRPr="00E537A1" w:rsidRDefault="006E0AD4" w:rsidP="006E5861">
      <w:pPr>
        <w:spacing w:after="0" w:line="480" w:lineRule="auto"/>
        <w:ind w:firstLine="720"/>
        <w:rPr>
          <w:rFonts w:ascii="Times New Roman" w:eastAsia="Times New Roman" w:hAnsi="Times New Roman" w:cs="Times New Roman"/>
          <w:color w:val="000000"/>
          <w:sz w:val="24"/>
          <w:szCs w:val="24"/>
        </w:rPr>
      </w:pPr>
      <w:r w:rsidRPr="00E537A1">
        <w:rPr>
          <w:rFonts w:ascii="Times New Roman" w:eastAsia="Times New Roman" w:hAnsi="Times New Roman" w:cs="Times New Roman"/>
          <w:color w:val="000000"/>
          <w:sz w:val="24"/>
          <w:szCs w:val="24"/>
        </w:rPr>
        <w:t>Based on my experience, I would like to advocate for the developme</w:t>
      </w:r>
      <w:r w:rsidRPr="00E537A1">
        <w:rPr>
          <w:rFonts w:ascii="Times New Roman" w:eastAsia="Times New Roman" w:hAnsi="Times New Roman" w:cs="Times New Roman"/>
          <w:color w:val="000000"/>
          <w:sz w:val="24"/>
          <w:szCs w:val="24"/>
        </w:rPr>
        <w:t>nt of tools and processes to aid the practitioners to develop better use of biomedical data standards that are readily available, tools such as LOINC. An excellent example that, RELMA software can be applied to assist users in viewing how severally LOINC h</w:t>
      </w:r>
      <w:r w:rsidRPr="00E537A1">
        <w:rPr>
          <w:rFonts w:ascii="Times New Roman" w:eastAsia="Times New Roman" w:hAnsi="Times New Roman" w:cs="Times New Roman"/>
          <w:color w:val="000000"/>
          <w:sz w:val="24"/>
          <w:szCs w:val="24"/>
        </w:rPr>
        <w:t xml:space="preserve">as been </w:t>
      </w:r>
      <w:r w:rsidR="008C2732" w:rsidRPr="00E537A1">
        <w:rPr>
          <w:rFonts w:ascii="Times New Roman" w:eastAsia="Times New Roman" w:hAnsi="Times New Roman" w:cs="Times New Roman"/>
          <w:color w:val="000000"/>
          <w:sz w:val="24"/>
          <w:szCs w:val="24"/>
        </w:rPr>
        <w:t>plotted</w:t>
      </w:r>
      <w:r w:rsidRPr="00E537A1">
        <w:rPr>
          <w:rFonts w:ascii="Times New Roman" w:eastAsia="Times New Roman" w:hAnsi="Times New Roman" w:cs="Times New Roman"/>
          <w:color w:val="000000"/>
          <w:sz w:val="24"/>
          <w:szCs w:val="24"/>
        </w:rPr>
        <w:t xml:space="preserve"> towards the local </w:t>
      </w:r>
      <w:r w:rsidR="008C2732" w:rsidRPr="00E537A1">
        <w:rPr>
          <w:rFonts w:ascii="Times New Roman" w:eastAsia="Times New Roman" w:hAnsi="Times New Roman" w:cs="Times New Roman"/>
          <w:color w:val="000000"/>
          <w:sz w:val="24"/>
          <w:szCs w:val="24"/>
        </w:rPr>
        <w:t>encryptions</w:t>
      </w:r>
      <w:r w:rsidR="008C2732">
        <w:rPr>
          <w:rFonts w:ascii="Times New Roman" w:eastAsia="Times New Roman" w:hAnsi="Times New Roman" w:cs="Times New Roman"/>
          <w:color w:val="000000"/>
          <w:sz w:val="24"/>
          <w:szCs w:val="24"/>
        </w:rPr>
        <w:t xml:space="preserve"> of various</w:t>
      </w:r>
      <w:bookmarkStart w:id="0" w:name="_GoBack"/>
      <w:bookmarkEnd w:id="0"/>
      <w:r w:rsidRPr="00E537A1">
        <w:rPr>
          <w:rFonts w:ascii="Times New Roman" w:eastAsia="Times New Roman" w:hAnsi="Times New Roman" w:cs="Times New Roman"/>
          <w:color w:val="000000"/>
          <w:sz w:val="24"/>
          <w:szCs w:val="24"/>
        </w:rPr>
        <w:t xml:space="preserve"> institutes</w:t>
      </w:r>
      <w:r w:rsidR="006E5861" w:rsidRPr="00E537A1">
        <w:rPr>
          <w:rFonts w:ascii="Times New Roman" w:eastAsia="Times New Roman" w:hAnsi="Times New Roman" w:cs="Times New Roman"/>
          <w:color w:val="000000"/>
          <w:sz w:val="24"/>
          <w:szCs w:val="24"/>
        </w:rPr>
        <w:t>.</w:t>
      </w:r>
    </w:p>
    <w:p w:rsidR="00587705" w:rsidRPr="00553A9B" w:rsidRDefault="006E0AD4" w:rsidP="00553A9B">
      <w:pPr>
        <w:pStyle w:val="ListParagraph"/>
        <w:numPr>
          <w:ilvl w:val="0"/>
          <w:numId w:val="6"/>
        </w:numPr>
        <w:spacing w:after="0" w:line="480" w:lineRule="auto"/>
        <w:rPr>
          <w:rFonts w:ascii="Times New Roman" w:hAnsi="Times New Roman" w:cs="Times New Roman"/>
          <w:b/>
          <w:color w:val="000000"/>
          <w:sz w:val="28"/>
          <w:szCs w:val="28"/>
        </w:rPr>
      </w:pPr>
      <w:r w:rsidRPr="00553A9B">
        <w:rPr>
          <w:rFonts w:ascii="Times New Roman" w:hAnsi="Times New Roman" w:cs="Times New Roman"/>
          <w:b/>
          <w:color w:val="000000"/>
          <w:sz w:val="28"/>
          <w:szCs w:val="28"/>
        </w:rPr>
        <w:t>Foundations of Health Informatics</w:t>
      </w:r>
    </w:p>
    <w:p w:rsidR="00587705" w:rsidRPr="00E537A1" w:rsidRDefault="006E0AD4" w:rsidP="006E5861">
      <w:pPr>
        <w:pStyle w:val="ListParagraph"/>
        <w:numPr>
          <w:ilvl w:val="0"/>
          <w:numId w:val="3"/>
        </w:numPr>
        <w:spacing w:after="0" w:line="480" w:lineRule="auto"/>
        <w:rPr>
          <w:rFonts w:ascii="Times New Roman" w:hAnsi="Times New Roman" w:cs="Times New Roman"/>
          <w:b/>
          <w:color w:val="000000"/>
          <w:sz w:val="24"/>
          <w:szCs w:val="24"/>
        </w:rPr>
      </w:pPr>
      <w:r w:rsidRPr="00E537A1">
        <w:rPr>
          <w:rFonts w:ascii="Times New Roman" w:hAnsi="Times New Roman" w:cs="Times New Roman"/>
          <w:b/>
          <w:color w:val="000000"/>
          <w:sz w:val="24"/>
          <w:szCs w:val="24"/>
        </w:rPr>
        <w:t xml:space="preserve">Patient Aligned EHR </w:t>
      </w:r>
    </w:p>
    <w:p w:rsidR="00587705" w:rsidRPr="00E537A1" w:rsidRDefault="006E0AD4" w:rsidP="006E5861">
      <w:pPr>
        <w:pStyle w:val="ListParagraph"/>
        <w:numPr>
          <w:ilvl w:val="0"/>
          <w:numId w:val="2"/>
        </w:numPr>
        <w:spacing w:line="480" w:lineRule="auto"/>
        <w:ind w:left="360"/>
        <w:rPr>
          <w:rFonts w:ascii="Times New Roman" w:hAnsi="Times New Roman" w:cs="Times New Roman"/>
          <w:sz w:val="24"/>
          <w:szCs w:val="24"/>
        </w:rPr>
      </w:pPr>
      <w:r w:rsidRPr="00E537A1">
        <w:rPr>
          <w:rFonts w:ascii="Times New Roman" w:hAnsi="Times New Roman" w:cs="Times New Roman"/>
          <w:sz w:val="24"/>
          <w:szCs w:val="24"/>
        </w:rPr>
        <w:lastRenderedPageBreak/>
        <w:t xml:space="preserve">The different means applied to communicate between the patients and physicians are mHealth, telehealth. These tools are used to address the </w:t>
      </w:r>
      <w:r w:rsidRPr="00E537A1">
        <w:rPr>
          <w:rFonts w:ascii="Times New Roman" w:hAnsi="Times New Roman" w:cs="Times New Roman"/>
          <w:sz w:val="24"/>
          <w:szCs w:val="24"/>
        </w:rPr>
        <w:t>transparency of organizations that deals with matters of healthcare, keeping records of each individual, and portals that allow essential indicators in the field.</w:t>
      </w:r>
    </w:p>
    <w:p w:rsidR="00587705" w:rsidRPr="00E537A1" w:rsidRDefault="006E0AD4" w:rsidP="006E5861">
      <w:pPr>
        <w:pStyle w:val="ListParagraph"/>
        <w:spacing w:line="480" w:lineRule="auto"/>
        <w:ind w:left="360" w:firstLine="360"/>
        <w:rPr>
          <w:rFonts w:ascii="Times New Roman" w:hAnsi="Times New Roman" w:cs="Times New Roman"/>
          <w:sz w:val="24"/>
          <w:szCs w:val="24"/>
        </w:rPr>
      </w:pPr>
      <w:r w:rsidRPr="00E537A1">
        <w:rPr>
          <w:rFonts w:ascii="Times New Roman" w:hAnsi="Times New Roman" w:cs="Times New Roman"/>
          <w:sz w:val="24"/>
          <w:szCs w:val="24"/>
        </w:rPr>
        <w:t>The advantages of the mHealth tool are fewer visits encountered in clinics and offer deep ins</w:t>
      </w:r>
      <w:r w:rsidRPr="00E537A1">
        <w:rPr>
          <w:rFonts w:ascii="Times New Roman" w:hAnsi="Times New Roman" w:cs="Times New Roman"/>
          <w:sz w:val="24"/>
          <w:szCs w:val="24"/>
        </w:rPr>
        <w:t>ights. The disadvantages are that there is a lack of regulations and lack of value as well. The advantages of telehealth are an expansion of the customer base, and the tool is cost-effective. The disadvantages are that there is a limited physical examinati</w:t>
      </w:r>
      <w:r w:rsidRPr="00E537A1">
        <w:rPr>
          <w:rFonts w:ascii="Times New Roman" w:hAnsi="Times New Roman" w:cs="Times New Roman"/>
          <w:sz w:val="24"/>
          <w:szCs w:val="24"/>
        </w:rPr>
        <w:t xml:space="preserve">on and more so, barriers to regulatory and industries.  </w:t>
      </w:r>
    </w:p>
    <w:p w:rsidR="00587705" w:rsidRPr="00E537A1" w:rsidRDefault="006E0AD4" w:rsidP="006E5861">
      <w:pPr>
        <w:pStyle w:val="ListParagraph"/>
        <w:spacing w:line="480" w:lineRule="auto"/>
        <w:ind w:left="360" w:firstLine="360"/>
        <w:rPr>
          <w:rFonts w:ascii="Times New Roman" w:hAnsi="Times New Roman" w:cs="Times New Roman"/>
          <w:sz w:val="24"/>
          <w:szCs w:val="24"/>
        </w:rPr>
      </w:pPr>
      <w:r w:rsidRPr="00E537A1">
        <w:rPr>
          <w:rFonts w:ascii="Times New Roman" w:hAnsi="Times New Roman" w:cs="Times New Roman"/>
          <w:sz w:val="24"/>
          <w:szCs w:val="24"/>
        </w:rPr>
        <w:t>A person-centred EHR can only fit with telehealth and mHelath if and only if the patients the EHR of the team members are interoperable. The gap between the need for a patient and what the health car</w:t>
      </w:r>
      <w:r w:rsidRPr="00E537A1">
        <w:rPr>
          <w:rFonts w:ascii="Times New Roman" w:hAnsi="Times New Roman" w:cs="Times New Roman"/>
          <w:sz w:val="24"/>
          <w:szCs w:val="24"/>
        </w:rPr>
        <w:t xml:space="preserve">egivers are willing to provide is the limited portal-EHR information to what is available in the medical health record of an organization.  </w:t>
      </w:r>
    </w:p>
    <w:p w:rsidR="003A02CA" w:rsidRPr="00E537A1" w:rsidRDefault="006E0AD4" w:rsidP="006E5861">
      <w:pPr>
        <w:pStyle w:val="ListParagraph"/>
        <w:numPr>
          <w:ilvl w:val="0"/>
          <w:numId w:val="2"/>
        </w:numPr>
        <w:spacing w:line="480" w:lineRule="auto"/>
        <w:ind w:left="360"/>
        <w:rPr>
          <w:rFonts w:ascii="Times New Roman" w:hAnsi="Times New Roman" w:cs="Times New Roman"/>
          <w:sz w:val="24"/>
          <w:szCs w:val="24"/>
        </w:rPr>
      </w:pPr>
      <w:r w:rsidRPr="00E537A1">
        <w:rPr>
          <w:rFonts w:ascii="Times New Roman" w:hAnsi="Times New Roman" w:cs="Times New Roman"/>
          <w:sz w:val="24"/>
          <w:szCs w:val="24"/>
        </w:rPr>
        <w:t>The advantages are users can participate effectively in decision-making programs. There also engage processes of he</w:t>
      </w:r>
      <w:r w:rsidRPr="00E537A1">
        <w:rPr>
          <w:rFonts w:ascii="Times New Roman" w:hAnsi="Times New Roman" w:cs="Times New Roman"/>
          <w:sz w:val="24"/>
          <w:szCs w:val="24"/>
        </w:rPr>
        <w:t>alth care. The disadvantages are that health literacy and digital split prevent us from exploiting the latent of CHI tools.</w:t>
      </w:r>
    </w:p>
    <w:p w:rsidR="00817E90" w:rsidRPr="00E537A1" w:rsidRDefault="006E0AD4" w:rsidP="006E5861">
      <w:pPr>
        <w:pStyle w:val="ListParagraph"/>
        <w:spacing w:line="480" w:lineRule="auto"/>
        <w:ind w:left="360"/>
        <w:rPr>
          <w:rFonts w:ascii="Times New Roman" w:hAnsi="Times New Roman" w:cs="Times New Roman"/>
          <w:b/>
          <w:sz w:val="24"/>
          <w:szCs w:val="24"/>
        </w:rPr>
      </w:pPr>
      <w:r w:rsidRPr="00E537A1">
        <w:rPr>
          <w:rFonts w:ascii="Times New Roman" w:hAnsi="Times New Roman" w:cs="Times New Roman"/>
          <w:b/>
          <w:sz w:val="24"/>
          <w:szCs w:val="24"/>
        </w:rPr>
        <w:t xml:space="preserve">Foundations of Health Informatics </w:t>
      </w:r>
    </w:p>
    <w:p w:rsidR="00817E90" w:rsidRPr="00E537A1" w:rsidRDefault="006E0AD4" w:rsidP="006E5861">
      <w:pPr>
        <w:pStyle w:val="ListParagraph"/>
        <w:numPr>
          <w:ilvl w:val="0"/>
          <w:numId w:val="5"/>
        </w:numPr>
        <w:spacing w:line="480" w:lineRule="auto"/>
        <w:ind w:left="360"/>
        <w:rPr>
          <w:rFonts w:ascii="Times New Roman" w:hAnsi="Times New Roman" w:cs="Times New Roman"/>
          <w:sz w:val="24"/>
          <w:szCs w:val="24"/>
        </w:rPr>
      </w:pPr>
      <w:r w:rsidRPr="00E537A1">
        <w:rPr>
          <w:rFonts w:ascii="Times New Roman" w:hAnsi="Times New Roman" w:cs="Times New Roman"/>
          <w:sz w:val="24"/>
          <w:szCs w:val="24"/>
        </w:rPr>
        <w:t>Concerning my opinion on virtual visits, the practitioners should thoroughly consider their value</w:t>
      </w:r>
      <w:r w:rsidRPr="00E537A1">
        <w:rPr>
          <w:rFonts w:ascii="Times New Roman" w:hAnsi="Times New Roman" w:cs="Times New Roman"/>
          <w:sz w:val="24"/>
          <w:szCs w:val="24"/>
        </w:rPr>
        <w:t>. Furthermore, practitioners considering to add to their practices must not presume anything. I think they are good over face to face for those living in upcountry. I would propose this method to save time travelling and waiting time.</w:t>
      </w:r>
    </w:p>
    <w:p w:rsidR="007A3FBC" w:rsidRPr="00E537A1" w:rsidRDefault="006E0AD4" w:rsidP="006E5861">
      <w:pPr>
        <w:pStyle w:val="ListParagraph"/>
        <w:numPr>
          <w:ilvl w:val="0"/>
          <w:numId w:val="5"/>
        </w:numPr>
        <w:spacing w:line="480" w:lineRule="auto"/>
        <w:ind w:left="360"/>
        <w:rPr>
          <w:rFonts w:ascii="Times New Roman" w:hAnsi="Times New Roman" w:cs="Times New Roman"/>
          <w:sz w:val="24"/>
          <w:szCs w:val="24"/>
        </w:rPr>
      </w:pPr>
      <w:r w:rsidRPr="00E537A1">
        <w:rPr>
          <w:rFonts w:ascii="Times New Roman" w:hAnsi="Times New Roman" w:cs="Times New Roman"/>
          <w:sz w:val="24"/>
          <w:szCs w:val="24"/>
        </w:rPr>
        <w:t>Physicians using virt</w:t>
      </w:r>
      <w:r w:rsidRPr="00E537A1">
        <w:rPr>
          <w:rFonts w:ascii="Times New Roman" w:hAnsi="Times New Roman" w:cs="Times New Roman"/>
          <w:sz w:val="24"/>
          <w:szCs w:val="24"/>
        </w:rPr>
        <w:t xml:space="preserve">ual visits should be reimbursed. This is because forms require the same documentation as that of in-person visits hence should be treated equally. During virtual </w:t>
      </w:r>
      <w:r w:rsidRPr="00E537A1">
        <w:rPr>
          <w:rFonts w:ascii="Times New Roman" w:hAnsi="Times New Roman" w:cs="Times New Roman"/>
          <w:sz w:val="24"/>
          <w:szCs w:val="24"/>
        </w:rPr>
        <w:lastRenderedPageBreak/>
        <w:t>visits, no money is used to travel as saving money for patients and physicians. To deal with l</w:t>
      </w:r>
      <w:r w:rsidRPr="00E537A1">
        <w:rPr>
          <w:rFonts w:ascii="Times New Roman" w:hAnsi="Times New Roman" w:cs="Times New Roman"/>
          <w:sz w:val="24"/>
          <w:szCs w:val="24"/>
        </w:rPr>
        <w:t>icensing issues for patients and physicians that are not from the same state, physicians should apply for a license that allows them to work in multiple states.</w:t>
      </w:r>
    </w:p>
    <w:p w:rsidR="007A3FBC" w:rsidRPr="00E537A1" w:rsidRDefault="006E0AD4" w:rsidP="006E5861">
      <w:pPr>
        <w:pStyle w:val="ListParagraph"/>
        <w:numPr>
          <w:ilvl w:val="0"/>
          <w:numId w:val="5"/>
        </w:numPr>
        <w:spacing w:line="480" w:lineRule="auto"/>
        <w:ind w:left="360"/>
        <w:rPr>
          <w:rFonts w:ascii="Times New Roman" w:hAnsi="Times New Roman" w:cs="Times New Roman"/>
          <w:sz w:val="24"/>
          <w:szCs w:val="24"/>
        </w:rPr>
      </w:pPr>
      <w:r w:rsidRPr="00E537A1">
        <w:rPr>
          <w:rFonts w:ascii="Times New Roman" w:hAnsi="Times New Roman" w:cs="Times New Roman"/>
          <w:sz w:val="24"/>
          <w:szCs w:val="24"/>
        </w:rPr>
        <w:t>Advantages of using telehealth are an expansion of the customer base, and the tool is cost-effe</w:t>
      </w:r>
      <w:r w:rsidRPr="00E537A1">
        <w:rPr>
          <w:rFonts w:ascii="Times New Roman" w:hAnsi="Times New Roman" w:cs="Times New Roman"/>
          <w:sz w:val="24"/>
          <w:szCs w:val="24"/>
        </w:rPr>
        <w:t>ctive. The disadvantages are limited physical examination and barriers to regulatory and industries. Face to face is applicable after meeting requirements for certification as stated under ACA.</w:t>
      </w:r>
      <w:r w:rsidR="00891291" w:rsidRPr="00E537A1">
        <w:rPr>
          <w:rFonts w:ascii="Times New Roman" w:hAnsi="Times New Roman" w:cs="Times New Roman"/>
          <w:sz w:val="24"/>
          <w:szCs w:val="24"/>
        </w:rPr>
        <w:t xml:space="preserve"> </w:t>
      </w:r>
      <w:r w:rsidRPr="00E537A1">
        <w:rPr>
          <w:rFonts w:ascii="Times New Roman" w:hAnsi="Times New Roman" w:cs="Times New Roman"/>
          <w:sz w:val="24"/>
          <w:szCs w:val="24"/>
        </w:rPr>
        <w:t xml:space="preserve">This practice is better when physical medication is required, </w:t>
      </w:r>
      <w:r w:rsidRPr="00E537A1">
        <w:rPr>
          <w:rFonts w:ascii="Times New Roman" w:hAnsi="Times New Roman" w:cs="Times New Roman"/>
          <w:sz w:val="24"/>
          <w:szCs w:val="24"/>
        </w:rPr>
        <w:t>like checking on a fractured body organ</w:t>
      </w:r>
      <w:r w:rsidR="000117D8" w:rsidRPr="00E537A1">
        <w:rPr>
          <w:rFonts w:ascii="Times New Roman" w:hAnsi="Times New Roman" w:cs="Times New Roman"/>
          <w:sz w:val="24"/>
          <w:szCs w:val="24"/>
        </w:rPr>
        <w:t xml:space="preserve"> (</w:t>
      </w:r>
      <w:r w:rsidR="000117D8" w:rsidRPr="00E537A1">
        <w:rPr>
          <w:rFonts w:ascii="Times New Roman" w:hAnsi="Times New Roman" w:cs="Times New Roman"/>
          <w:color w:val="222222"/>
          <w:sz w:val="24"/>
          <w:szCs w:val="24"/>
          <w:shd w:val="clear" w:color="auto" w:fill="FFFFFF"/>
        </w:rPr>
        <w:t>Lee, Ooi, &amp; Lai, 2017).</w:t>
      </w:r>
    </w:p>
    <w:p w:rsidR="007A3FBC" w:rsidRPr="00E537A1" w:rsidRDefault="007A3FBC" w:rsidP="00E653D5">
      <w:pPr>
        <w:pStyle w:val="ListParagraph"/>
        <w:spacing w:line="480" w:lineRule="auto"/>
        <w:ind w:left="1080"/>
        <w:rPr>
          <w:rFonts w:ascii="Times New Roman" w:hAnsi="Times New Roman" w:cs="Times New Roman"/>
          <w:sz w:val="24"/>
          <w:szCs w:val="24"/>
        </w:rPr>
      </w:pPr>
    </w:p>
    <w:p w:rsidR="00817E90" w:rsidRPr="00E537A1" w:rsidRDefault="00817E90" w:rsidP="00E653D5">
      <w:pPr>
        <w:pStyle w:val="ListParagraph"/>
        <w:spacing w:line="480" w:lineRule="auto"/>
        <w:ind w:left="1080"/>
        <w:rPr>
          <w:rFonts w:ascii="Times New Roman" w:hAnsi="Times New Roman" w:cs="Times New Roman"/>
          <w:sz w:val="24"/>
          <w:szCs w:val="24"/>
        </w:rPr>
      </w:pPr>
    </w:p>
    <w:p w:rsidR="00587705" w:rsidRPr="00E537A1" w:rsidRDefault="00587705" w:rsidP="00E653D5">
      <w:pPr>
        <w:spacing w:after="0" w:line="480" w:lineRule="auto"/>
        <w:ind w:firstLine="720"/>
        <w:rPr>
          <w:rFonts w:ascii="Times New Roman" w:eastAsia="Times New Roman" w:hAnsi="Times New Roman" w:cs="Times New Roman"/>
          <w:color w:val="000000"/>
          <w:sz w:val="24"/>
          <w:szCs w:val="24"/>
        </w:rPr>
      </w:pPr>
    </w:p>
    <w:p w:rsidR="0048760B" w:rsidRPr="00E537A1" w:rsidRDefault="0048760B" w:rsidP="00E653D5">
      <w:pPr>
        <w:spacing w:after="0" w:line="480" w:lineRule="auto"/>
        <w:rPr>
          <w:rFonts w:ascii="Times New Roman" w:eastAsia="Times New Roman" w:hAnsi="Times New Roman" w:cs="Times New Roman"/>
          <w:color w:val="000000"/>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A7788E" w:rsidRPr="00E537A1" w:rsidRDefault="00A7788E" w:rsidP="00E653D5">
      <w:pPr>
        <w:spacing w:after="0" w:line="480" w:lineRule="auto"/>
        <w:rPr>
          <w:rFonts w:ascii="Times New Roman" w:hAnsi="Times New Roman" w:cs="Times New Roman"/>
          <w:sz w:val="24"/>
          <w:szCs w:val="24"/>
        </w:rPr>
      </w:pPr>
    </w:p>
    <w:p w:rsidR="006E5861" w:rsidRPr="00E537A1" w:rsidRDefault="006E5861" w:rsidP="00E653D5">
      <w:pPr>
        <w:spacing w:after="0" w:line="480" w:lineRule="auto"/>
        <w:rPr>
          <w:rFonts w:ascii="Times New Roman" w:hAnsi="Times New Roman" w:cs="Times New Roman"/>
          <w:sz w:val="24"/>
          <w:szCs w:val="24"/>
        </w:rPr>
      </w:pPr>
    </w:p>
    <w:p w:rsidR="0048760B" w:rsidRPr="00E537A1" w:rsidRDefault="006E0AD4" w:rsidP="00E653D5">
      <w:pPr>
        <w:spacing w:after="0" w:line="480" w:lineRule="auto"/>
        <w:jc w:val="center"/>
        <w:rPr>
          <w:rFonts w:ascii="Times New Roman" w:hAnsi="Times New Roman" w:cs="Times New Roman"/>
          <w:sz w:val="24"/>
          <w:szCs w:val="24"/>
        </w:rPr>
      </w:pPr>
      <w:r w:rsidRPr="00E537A1">
        <w:rPr>
          <w:rFonts w:ascii="Times New Roman" w:hAnsi="Times New Roman" w:cs="Times New Roman"/>
          <w:sz w:val="24"/>
          <w:szCs w:val="24"/>
        </w:rPr>
        <w:lastRenderedPageBreak/>
        <w:t>References</w:t>
      </w:r>
    </w:p>
    <w:p w:rsidR="00E537A1" w:rsidRPr="00E537A1" w:rsidRDefault="006E0AD4" w:rsidP="00E537A1">
      <w:pPr>
        <w:spacing w:after="0" w:line="480" w:lineRule="auto"/>
        <w:ind w:left="720" w:hanging="720"/>
        <w:rPr>
          <w:rFonts w:ascii="Times New Roman" w:hAnsi="Times New Roman" w:cs="Times New Roman"/>
          <w:sz w:val="24"/>
          <w:szCs w:val="24"/>
        </w:rPr>
      </w:pPr>
      <w:r w:rsidRPr="00E537A1">
        <w:rPr>
          <w:rFonts w:ascii="Times New Roman" w:hAnsi="Times New Roman" w:cs="Times New Roman"/>
          <w:color w:val="000000"/>
          <w:sz w:val="24"/>
          <w:szCs w:val="24"/>
          <w:shd w:val="clear" w:color="auto" w:fill="FFFFFF"/>
        </w:rPr>
        <w:t>Demiris, G. (2016). Thieme E-journals - Yearbook of medical informatics / Abstract. Retrieved from https://www.thieme-</w:t>
      </w:r>
    </w:p>
    <w:p w:rsidR="00E537A1" w:rsidRPr="00E537A1" w:rsidRDefault="006E0AD4" w:rsidP="00E537A1">
      <w:pPr>
        <w:spacing w:after="0" w:line="480" w:lineRule="auto"/>
        <w:ind w:left="720" w:hanging="720"/>
        <w:rPr>
          <w:rFonts w:ascii="Times New Roman" w:hAnsi="Times New Roman" w:cs="Times New Roman"/>
          <w:color w:val="222222"/>
          <w:sz w:val="24"/>
          <w:szCs w:val="24"/>
          <w:shd w:val="clear" w:color="auto" w:fill="FFFFFF"/>
        </w:rPr>
      </w:pPr>
      <w:r w:rsidRPr="00E537A1">
        <w:rPr>
          <w:rFonts w:ascii="Times New Roman" w:hAnsi="Times New Roman" w:cs="Times New Roman"/>
          <w:color w:val="222222"/>
          <w:sz w:val="24"/>
          <w:szCs w:val="24"/>
          <w:shd w:val="clear" w:color="auto" w:fill="FFFFFF"/>
        </w:rPr>
        <w:t xml:space="preserve">Lee, S. W., Ooi, L., &amp; Lai, Y. K. (2017). </w:t>
      </w:r>
      <w:r w:rsidRPr="00E537A1">
        <w:rPr>
          <w:rFonts w:ascii="Times New Roman" w:hAnsi="Times New Roman" w:cs="Times New Roman"/>
          <w:color w:val="222222"/>
          <w:sz w:val="24"/>
          <w:szCs w:val="24"/>
          <w:shd w:val="clear" w:color="auto" w:fill="FFFFFF"/>
        </w:rPr>
        <w:t>Telemedicine for the management of glycemic control and clinical outcomes of type 1 diabetes mellitus: a systematic review and meta-analysis of randomized controlled studies. </w:t>
      </w:r>
      <w:r w:rsidRPr="00E537A1">
        <w:rPr>
          <w:rFonts w:ascii="Times New Roman" w:hAnsi="Times New Roman" w:cs="Times New Roman"/>
          <w:i/>
          <w:iCs/>
          <w:color w:val="222222"/>
          <w:sz w:val="24"/>
          <w:szCs w:val="24"/>
          <w:shd w:val="clear" w:color="auto" w:fill="FFFFFF"/>
        </w:rPr>
        <w:t>Frontiers in pharmacology</w:t>
      </w:r>
      <w:r w:rsidRPr="00E537A1">
        <w:rPr>
          <w:rFonts w:ascii="Times New Roman" w:hAnsi="Times New Roman" w:cs="Times New Roman"/>
          <w:color w:val="222222"/>
          <w:sz w:val="24"/>
          <w:szCs w:val="24"/>
          <w:shd w:val="clear" w:color="auto" w:fill="FFFFFF"/>
        </w:rPr>
        <w:t>, </w:t>
      </w:r>
      <w:r w:rsidRPr="00E537A1">
        <w:rPr>
          <w:rFonts w:ascii="Times New Roman" w:hAnsi="Times New Roman" w:cs="Times New Roman"/>
          <w:i/>
          <w:iCs/>
          <w:color w:val="222222"/>
          <w:sz w:val="24"/>
          <w:szCs w:val="24"/>
          <w:shd w:val="clear" w:color="auto" w:fill="FFFFFF"/>
        </w:rPr>
        <w:t>8</w:t>
      </w:r>
      <w:r w:rsidRPr="00E537A1">
        <w:rPr>
          <w:rFonts w:ascii="Times New Roman" w:hAnsi="Times New Roman" w:cs="Times New Roman"/>
          <w:color w:val="222222"/>
          <w:sz w:val="24"/>
          <w:szCs w:val="24"/>
          <w:shd w:val="clear" w:color="auto" w:fill="FFFFFF"/>
        </w:rPr>
        <w:t>, 330.</w:t>
      </w:r>
    </w:p>
    <w:p w:rsidR="00E537A1" w:rsidRPr="00E537A1" w:rsidRDefault="006E0AD4" w:rsidP="00E537A1">
      <w:pPr>
        <w:spacing w:after="0" w:line="480" w:lineRule="auto"/>
        <w:ind w:left="720" w:hanging="720"/>
        <w:rPr>
          <w:rFonts w:ascii="Times New Roman" w:hAnsi="Times New Roman" w:cs="Times New Roman"/>
          <w:color w:val="222222"/>
          <w:sz w:val="24"/>
          <w:szCs w:val="24"/>
          <w:shd w:val="clear" w:color="auto" w:fill="FFFFFF"/>
        </w:rPr>
      </w:pPr>
      <w:r w:rsidRPr="00E537A1">
        <w:rPr>
          <w:rFonts w:ascii="Times New Roman" w:hAnsi="Times New Roman" w:cs="Times New Roman"/>
          <w:color w:val="222222"/>
          <w:sz w:val="24"/>
          <w:szCs w:val="24"/>
          <w:shd w:val="clear" w:color="auto" w:fill="FFFFFF"/>
        </w:rPr>
        <w:t>Lin, M. C., Vreeman, D. J., McDonald, C. J., &amp;</w:t>
      </w:r>
      <w:r w:rsidRPr="00E537A1">
        <w:rPr>
          <w:rFonts w:ascii="Times New Roman" w:hAnsi="Times New Roman" w:cs="Times New Roman"/>
          <w:color w:val="222222"/>
          <w:sz w:val="24"/>
          <w:szCs w:val="24"/>
          <w:shd w:val="clear" w:color="auto" w:fill="FFFFFF"/>
        </w:rPr>
        <w:t xml:space="preserve"> Huff, S. M. (2011). A characterization of local LOINC mapping for laboratory tests in three large institutions. </w:t>
      </w:r>
      <w:r w:rsidRPr="00E537A1">
        <w:rPr>
          <w:rFonts w:ascii="Times New Roman" w:hAnsi="Times New Roman" w:cs="Times New Roman"/>
          <w:i/>
          <w:iCs/>
          <w:color w:val="222222"/>
          <w:sz w:val="24"/>
          <w:szCs w:val="24"/>
          <w:shd w:val="clear" w:color="auto" w:fill="FFFFFF"/>
        </w:rPr>
        <w:t>Methods of information in medicine</w:t>
      </w:r>
      <w:r w:rsidRPr="00E537A1">
        <w:rPr>
          <w:rFonts w:ascii="Times New Roman" w:hAnsi="Times New Roman" w:cs="Times New Roman"/>
          <w:color w:val="222222"/>
          <w:sz w:val="24"/>
          <w:szCs w:val="24"/>
          <w:shd w:val="clear" w:color="auto" w:fill="FFFFFF"/>
        </w:rPr>
        <w:t>, </w:t>
      </w:r>
      <w:r w:rsidRPr="00E537A1">
        <w:rPr>
          <w:rFonts w:ascii="Times New Roman" w:hAnsi="Times New Roman" w:cs="Times New Roman"/>
          <w:i/>
          <w:iCs/>
          <w:color w:val="222222"/>
          <w:sz w:val="24"/>
          <w:szCs w:val="24"/>
          <w:shd w:val="clear" w:color="auto" w:fill="FFFFFF"/>
        </w:rPr>
        <w:t>50</w:t>
      </w:r>
      <w:r w:rsidRPr="00E537A1">
        <w:rPr>
          <w:rFonts w:ascii="Times New Roman" w:hAnsi="Times New Roman" w:cs="Times New Roman"/>
          <w:color w:val="222222"/>
          <w:sz w:val="24"/>
          <w:szCs w:val="24"/>
          <w:shd w:val="clear" w:color="auto" w:fill="FFFFFF"/>
        </w:rPr>
        <w:t>(02), 105-114.</w:t>
      </w:r>
    </w:p>
    <w:p w:rsidR="00E537A1" w:rsidRPr="00E537A1" w:rsidRDefault="006E0AD4" w:rsidP="00E537A1">
      <w:pPr>
        <w:spacing w:after="0" w:line="480" w:lineRule="auto"/>
        <w:ind w:left="720" w:hanging="720"/>
        <w:rPr>
          <w:rFonts w:ascii="Times New Roman" w:hAnsi="Times New Roman" w:cs="Times New Roman"/>
          <w:color w:val="222222"/>
          <w:sz w:val="24"/>
          <w:szCs w:val="24"/>
          <w:shd w:val="clear" w:color="auto" w:fill="FFFFFF"/>
        </w:rPr>
      </w:pPr>
      <w:r w:rsidRPr="00E537A1">
        <w:rPr>
          <w:rFonts w:ascii="Times New Roman" w:hAnsi="Times New Roman" w:cs="Times New Roman"/>
          <w:color w:val="222222"/>
          <w:sz w:val="24"/>
          <w:szCs w:val="24"/>
          <w:shd w:val="clear" w:color="auto" w:fill="FFFFFF"/>
        </w:rPr>
        <w:t>Stram, M., Gigliotti, T., Hartman, D., Pitkus, A., Huff, S. M., Riben, M., ... &amp; Pantanowi</w:t>
      </w:r>
      <w:r w:rsidRPr="00E537A1">
        <w:rPr>
          <w:rFonts w:ascii="Times New Roman" w:hAnsi="Times New Roman" w:cs="Times New Roman"/>
          <w:color w:val="222222"/>
          <w:sz w:val="24"/>
          <w:szCs w:val="24"/>
          <w:shd w:val="clear" w:color="auto" w:fill="FFFFFF"/>
        </w:rPr>
        <w:t>tz, L. (2020). Logical Observation Identifiers Names and Codes for Laboratorians: Potential Solutions and Challenges for Interoperability. </w:t>
      </w:r>
      <w:r w:rsidRPr="00E537A1">
        <w:rPr>
          <w:rFonts w:ascii="Times New Roman" w:hAnsi="Times New Roman" w:cs="Times New Roman"/>
          <w:i/>
          <w:iCs/>
          <w:color w:val="222222"/>
          <w:sz w:val="24"/>
          <w:szCs w:val="24"/>
          <w:shd w:val="clear" w:color="auto" w:fill="FFFFFF"/>
        </w:rPr>
        <w:t>Archives of Pathology &amp; Laboratory Medicine</w:t>
      </w:r>
      <w:r w:rsidRPr="00E537A1">
        <w:rPr>
          <w:rFonts w:ascii="Times New Roman" w:hAnsi="Times New Roman" w:cs="Times New Roman"/>
          <w:color w:val="222222"/>
          <w:sz w:val="24"/>
          <w:szCs w:val="24"/>
          <w:shd w:val="clear" w:color="auto" w:fill="FFFFFF"/>
        </w:rPr>
        <w:t>, </w:t>
      </w:r>
      <w:r w:rsidRPr="00E537A1">
        <w:rPr>
          <w:rFonts w:ascii="Times New Roman" w:hAnsi="Times New Roman" w:cs="Times New Roman"/>
          <w:i/>
          <w:iCs/>
          <w:color w:val="222222"/>
          <w:sz w:val="24"/>
          <w:szCs w:val="24"/>
          <w:shd w:val="clear" w:color="auto" w:fill="FFFFFF"/>
        </w:rPr>
        <w:t>144</w:t>
      </w:r>
      <w:r w:rsidRPr="00E537A1">
        <w:rPr>
          <w:rFonts w:ascii="Times New Roman" w:hAnsi="Times New Roman" w:cs="Times New Roman"/>
          <w:color w:val="222222"/>
          <w:sz w:val="24"/>
          <w:szCs w:val="24"/>
          <w:shd w:val="clear" w:color="auto" w:fill="FFFFFF"/>
        </w:rPr>
        <w:t>(2), 229-239.</w:t>
      </w:r>
    </w:p>
    <w:sectPr w:rsidR="00E537A1" w:rsidRPr="00E537A1" w:rsidSect="00E653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AD4" w:rsidRDefault="006E0AD4">
      <w:pPr>
        <w:spacing w:after="0" w:line="240" w:lineRule="auto"/>
      </w:pPr>
      <w:r>
        <w:separator/>
      </w:r>
    </w:p>
  </w:endnote>
  <w:endnote w:type="continuationSeparator" w:id="0">
    <w:p w:rsidR="006E0AD4" w:rsidRDefault="006E0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AD4" w:rsidRDefault="006E0AD4">
      <w:pPr>
        <w:spacing w:after="0" w:line="240" w:lineRule="auto"/>
      </w:pPr>
      <w:r>
        <w:separator/>
      </w:r>
    </w:p>
  </w:footnote>
  <w:footnote w:type="continuationSeparator" w:id="0">
    <w:p w:rsidR="006E0AD4" w:rsidRDefault="006E0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3D5" w:rsidRPr="00E653D5" w:rsidRDefault="006E0AD4" w:rsidP="00E653D5">
    <w:pPr>
      <w:pStyle w:val="Header"/>
    </w:pPr>
    <w:r>
      <w:rPr>
        <w:rFonts w:ascii="Times New Roman" w:hAnsi="Times New Roman" w:cs="Times New Roman"/>
        <w:sz w:val="24"/>
        <w:szCs w:val="24"/>
      </w:rPr>
      <w:t>PHYSICIAN-PATIENCE CONVEYANCE                                                                                   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3D5" w:rsidRPr="00E653D5" w:rsidRDefault="006E0AD4">
    <w:pPr>
      <w:pStyle w:val="Header"/>
      <w:jc w:val="right"/>
      <w:rPr>
        <w:rFonts w:ascii="Times New Roman" w:hAnsi="Times New Roman" w:cs="Times New Roman"/>
        <w:sz w:val="24"/>
        <w:szCs w:val="24"/>
      </w:rPr>
    </w:pPr>
    <w:r w:rsidRPr="00E653D5">
      <w:rPr>
        <w:rFonts w:ascii="Times New Roman" w:hAnsi="Times New Roman" w:cs="Times New Roman"/>
        <w:sz w:val="24"/>
        <w:szCs w:val="24"/>
      </w:rPr>
      <w:t xml:space="preserve">Running head: PHYSICIAN-PATIENCE CONVEYANCE  </w:t>
    </w:r>
    <w:sdt>
      <w:sdtPr>
        <w:rPr>
          <w:rFonts w:ascii="Times New Roman" w:hAnsi="Times New Roman" w:cs="Times New Roman"/>
          <w:sz w:val="24"/>
          <w:szCs w:val="24"/>
        </w:rPr>
        <w:id w:val="172247447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653D5">
          <w:rPr>
            <w:rFonts w:ascii="Times New Roman" w:hAnsi="Times New Roman" w:cs="Times New Roman"/>
            <w:sz w:val="24"/>
            <w:szCs w:val="24"/>
          </w:rPr>
          <w:fldChar w:fldCharType="begin"/>
        </w:r>
        <w:r w:rsidRPr="00E653D5">
          <w:rPr>
            <w:rFonts w:ascii="Times New Roman" w:hAnsi="Times New Roman" w:cs="Times New Roman"/>
            <w:sz w:val="24"/>
            <w:szCs w:val="24"/>
          </w:rPr>
          <w:instrText xml:space="preserve"> PAGE   \* MERGEFORMAT </w:instrText>
        </w:r>
        <w:r w:rsidRPr="00E653D5">
          <w:rPr>
            <w:rFonts w:ascii="Times New Roman" w:hAnsi="Times New Roman" w:cs="Times New Roman"/>
            <w:sz w:val="24"/>
            <w:szCs w:val="24"/>
          </w:rPr>
          <w:fldChar w:fldCharType="separate"/>
        </w:r>
        <w:r w:rsidR="0069152D">
          <w:rPr>
            <w:rFonts w:ascii="Times New Roman" w:hAnsi="Times New Roman" w:cs="Times New Roman"/>
            <w:noProof/>
            <w:sz w:val="24"/>
            <w:szCs w:val="24"/>
          </w:rPr>
          <w:t>1</w:t>
        </w:r>
        <w:r w:rsidRPr="00E653D5">
          <w:rPr>
            <w:rFonts w:ascii="Times New Roman" w:hAnsi="Times New Roman" w:cs="Times New Roman"/>
            <w:noProof/>
            <w:sz w:val="24"/>
            <w:szCs w:val="24"/>
          </w:rPr>
          <w:fldChar w:fldCharType="end"/>
        </w:r>
      </w:sdtContent>
    </w:sdt>
  </w:p>
  <w:p w:rsidR="00E653D5" w:rsidRPr="00E653D5" w:rsidRDefault="00E653D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97380"/>
    <w:multiLevelType w:val="hybridMultilevel"/>
    <w:tmpl w:val="C4CA1C6E"/>
    <w:lvl w:ilvl="0" w:tplc="63005060">
      <w:start w:val="1"/>
      <w:numFmt w:val="decimal"/>
      <w:lvlText w:val="%1."/>
      <w:lvlJc w:val="left"/>
      <w:pPr>
        <w:ind w:left="720" w:hanging="360"/>
      </w:pPr>
      <w:rPr>
        <w:rFonts w:hint="default"/>
      </w:rPr>
    </w:lvl>
    <w:lvl w:ilvl="1" w:tplc="D702E75A" w:tentative="1">
      <w:start w:val="1"/>
      <w:numFmt w:val="lowerLetter"/>
      <w:lvlText w:val="%2."/>
      <w:lvlJc w:val="left"/>
      <w:pPr>
        <w:ind w:left="1440" w:hanging="360"/>
      </w:pPr>
    </w:lvl>
    <w:lvl w:ilvl="2" w:tplc="FF2E10B4" w:tentative="1">
      <w:start w:val="1"/>
      <w:numFmt w:val="lowerRoman"/>
      <w:lvlText w:val="%3."/>
      <w:lvlJc w:val="right"/>
      <w:pPr>
        <w:ind w:left="2160" w:hanging="180"/>
      </w:pPr>
    </w:lvl>
    <w:lvl w:ilvl="3" w:tplc="367C948C" w:tentative="1">
      <w:start w:val="1"/>
      <w:numFmt w:val="decimal"/>
      <w:lvlText w:val="%4."/>
      <w:lvlJc w:val="left"/>
      <w:pPr>
        <w:ind w:left="2880" w:hanging="360"/>
      </w:pPr>
    </w:lvl>
    <w:lvl w:ilvl="4" w:tplc="3698B6BC" w:tentative="1">
      <w:start w:val="1"/>
      <w:numFmt w:val="lowerLetter"/>
      <w:lvlText w:val="%5."/>
      <w:lvlJc w:val="left"/>
      <w:pPr>
        <w:ind w:left="3600" w:hanging="360"/>
      </w:pPr>
    </w:lvl>
    <w:lvl w:ilvl="5" w:tplc="D958856E" w:tentative="1">
      <w:start w:val="1"/>
      <w:numFmt w:val="lowerRoman"/>
      <w:lvlText w:val="%6."/>
      <w:lvlJc w:val="right"/>
      <w:pPr>
        <w:ind w:left="4320" w:hanging="180"/>
      </w:pPr>
    </w:lvl>
    <w:lvl w:ilvl="6" w:tplc="74DC8446" w:tentative="1">
      <w:start w:val="1"/>
      <w:numFmt w:val="decimal"/>
      <w:lvlText w:val="%7."/>
      <w:lvlJc w:val="left"/>
      <w:pPr>
        <w:ind w:left="5040" w:hanging="360"/>
      </w:pPr>
    </w:lvl>
    <w:lvl w:ilvl="7" w:tplc="FE92B780" w:tentative="1">
      <w:start w:val="1"/>
      <w:numFmt w:val="lowerLetter"/>
      <w:lvlText w:val="%8."/>
      <w:lvlJc w:val="left"/>
      <w:pPr>
        <w:ind w:left="5760" w:hanging="360"/>
      </w:pPr>
    </w:lvl>
    <w:lvl w:ilvl="8" w:tplc="53EC0844" w:tentative="1">
      <w:start w:val="1"/>
      <w:numFmt w:val="lowerRoman"/>
      <w:lvlText w:val="%9."/>
      <w:lvlJc w:val="right"/>
      <w:pPr>
        <w:ind w:left="6480" w:hanging="180"/>
      </w:pPr>
    </w:lvl>
  </w:abstractNum>
  <w:abstractNum w:abstractNumId="1" w15:restartNumberingAfterBreak="0">
    <w:nsid w:val="36D832FC"/>
    <w:multiLevelType w:val="hybridMultilevel"/>
    <w:tmpl w:val="4648B0E4"/>
    <w:lvl w:ilvl="0" w:tplc="D8BE88F4">
      <w:start w:val="1"/>
      <w:numFmt w:val="lowerLetter"/>
      <w:lvlText w:val="%1)"/>
      <w:lvlJc w:val="left"/>
      <w:pPr>
        <w:ind w:left="720" w:hanging="360"/>
      </w:pPr>
      <w:rPr>
        <w:rFonts w:hint="default"/>
      </w:rPr>
    </w:lvl>
    <w:lvl w:ilvl="1" w:tplc="93CA598A" w:tentative="1">
      <w:start w:val="1"/>
      <w:numFmt w:val="lowerLetter"/>
      <w:lvlText w:val="%2."/>
      <w:lvlJc w:val="left"/>
      <w:pPr>
        <w:ind w:left="1440" w:hanging="360"/>
      </w:pPr>
    </w:lvl>
    <w:lvl w:ilvl="2" w:tplc="7F22CF40" w:tentative="1">
      <w:start w:val="1"/>
      <w:numFmt w:val="lowerRoman"/>
      <w:lvlText w:val="%3."/>
      <w:lvlJc w:val="right"/>
      <w:pPr>
        <w:ind w:left="2160" w:hanging="180"/>
      </w:pPr>
    </w:lvl>
    <w:lvl w:ilvl="3" w:tplc="8858FE4E" w:tentative="1">
      <w:start w:val="1"/>
      <w:numFmt w:val="decimal"/>
      <w:lvlText w:val="%4."/>
      <w:lvlJc w:val="left"/>
      <w:pPr>
        <w:ind w:left="2880" w:hanging="360"/>
      </w:pPr>
    </w:lvl>
    <w:lvl w:ilvl="4" w:tplc="A9444934" w:tentative="1">
      <w:start w:val="1"/>
      <w:numFmt w:val="lowerLetter"/>
      <w:lvlText w:val="%5."/>
      <w:lvlJc w:val="left"/>
      <w:pPr>
        <w:ind w:left="3600" w:hanging="360"/>
      </w:pPr>
    </w:lvl>
    <w:lvl w:ilvl="5" w:tplc="D988E216" w:tentative="1">
      <w:start w:val="1"/>
      <w:numFmt w:val="lowerRoman"/>
      <w:lvlText w:val="%6."/>
      <w:lvlJc w:val="right"/>
      <w:pPr>
        <w:ind w:left="4320" w:hanging="180"/>
      </w:pPr>
    </w:lvl>
    <w:lvl w:ilvl="6" w:tplc="FDE4CB14" w:tentative="1">
      <w:start w:val="1"/>
      <w:numFmt w:val="decimal"/>
      <w:lvlText w:val="%7."/>
      <w:lvlJc w:val="left"/>
      <w:pPr>
        <w:ind w:left="5040" w:hanging="360"/>
      </w:pPr>
    </w:lvl>
    <w:lvl w:ilvl="7" w:tplc="76AAC7A8" w:tentative="1">
      <w:start w:val="1"/>
      <w:numFmt w:val="lowerLetter"/>
      <w:lvlText w:val="%8."/>
      <w:lvlJc w:val="left"/>
      <w:pPr>
        <w:ind w:left="5760" w:hanging="360"/>
      </w:pPr>
    </w:lvl>
    <w:lvl w:ilvl="8" w:tplc="0756BCB8" w:tentative="1">
      <w:start w:val="1"/>
      <w:numFmt w:val="lowerRoman"/>
      <w:lvlText w:val="%9."/>
      <w:lvlJc w:val="right"/>
      <w:pPr>
        <w:ind w:left="6480" w:hanging="180"/>
      </w:pPr>
    </w:lvl>
  </w:abstractNum>
  <w:abstractNum w:abstractNumId="2" w15:restartNumberingAfterBreak="0">
    <w:nsid w:val="41162057"/>
    <w:multiLevelType w:val="hybridMultilevel"/>
    <w:tmpl w:val="A0869BE8"/>
    <w:lvl w:ilvl="0" w:tplc="76DE9B3E">
      <w:start w:val="1"/>
      <w:numFmt w:val="upperLetter"/>
      <w:lvlText w:val="%1."/>
      <w:lvlJc w:val="left"/>
      <w:pPr>
        <w:ind w:left="720" w:hanging="360"/>
      </w:pPr>
      <w:rPr>
        <w:rFonts w:hint="default"/>
      </w:rPr>
    </w:lvl>
    <w:lvl w:ilvl="1" w:tplc="29F28620" w:tentative="1">
      <w:start w:val="1"/>
      <w:numFmt w:val="lowerLetter"/>
      <w:lvlText w:val="%2."/>
      <w:lvlJc w:val="left"/>
      <w:pPr>
        <w:ind w:left="1440" w:hanging="360"/>
      </w:pPr>
    </w:lvl>
    <w:lvl w:ilvl="2" w:tplc="22E4D310" w:tentative="1">
      <w:start w:val="1"/>
      <w:numFmt w:val="lowerRoman"/>
      <w:lvlText w:val="%3."/>
      <w:lvlJc w:val="right"/>
      <w:pPr>
        <w:ind w:left="2160" w:hanging="180"/>
      </w:pPr>
    </w:lvl>
    <w:lvl w:ilvl="3" w:tplc="89B8CAF8" w:tentative="1">
      <w:start w:val="1"/>
      <w:numFmt w:val="decimal"/>
      <w:lvlText w:val="%4."/>
      <w:lvlJc w:val="left"/>
      <w:pPr>
        <w:ind w:left="2880" w:hanging="360"/>
      </w:pPr>
    </w:lvl>
    <w:lvl w:ilvl="4" w:tplc="125464DE" w:tentative="1">
      <w:start w:val="1"/>
      <w:numFmt w:val="lowerLetter"/>
      <w:lvlText w:val="%5."/>
      <w:lvlJc w:val="left"/>
      <w:pPr>
        <w:ind w:left="3600" w:hanging="360"/>
      </w:pPr>
    </w:lvl>
    <w:lvl w:ilvl="5" w:tplc="1C1A7062" w:tentative="1">
      <w:start w:val="1"/>
      <w:numFmt w:val="lowerRoman"/>
      <w:lvlText w:val="%6."/>
      <w:lvlJc w:val="right"/>
      <w:pPr>
        <w:ind w:left="4320" w:hanging="180"/>
      </w:pPr>
    </w:lvl>
    <w:lvl w:ilvl="6" w:tplc="C4D833F6" w:tentative="1">
      <w:start w:val="1"/>
      <w:numFmt w:val="decimal"/>
      <w:lvlText w:val="%7."/>
      <w:lvlJc w:val="left"/>
      <w:pPr>
        <w:ind w:left="5040" w:hanging="360"/>
      </w:pPr>
    </w:lvl>
    <w:lvl w:ilvl="7" w:tplc="B0D09AD0" w:tentative="1">
      <w:start w:val="1"/>
      <w:numFmt w:val="lowerLetter"/>
      <w:lvlText w:val="%8."/>
      <w:lvlJc w:val="left"/>
      <w:pPr>
        <w:ind w:left="5760" w:hanging="360"/>
      </w:pPr>
    </w:lvl>
    <w:lvl w:ilvl="8" w:tplc="A9A2466E" w:tentative="1">
      <w:start w:val="1"/>
      <w:numFmt w:val="lowerRoman"/>
      <w:lvlText w:val="%9."/>
      <w:lvlJc w:val="right"/>
      <w:pPr>
        <w:ind w:left="6480" w:hanging="180"/>
      </w:pPr>
    </w:lvl>
  </w:abstractNum>
  <w:abstractNum w:abstractNumId="3" w15:restartNumberingAfterBreak="0">
    <w:nsid w:val="443C01F7"/>
    <w:multiLevelType w:val="hybridMultilevel"/>
    <w:tmpl w:val="33746A4A"/>
    <w:lvl w:ilvl="0" w:tplc="797E4F68">
      <w:start w:val="1"/>
      <w:numFmt w:val="decimal"/>
      <w:lvlText w:val="%1."/>
      <w:lvlJc w:val="left"/>
      <w:pPr>
        <w:ind w:left="720" w:hanging="360"/>
      </w:pPr>
      <w:rPr>
        <w:rFonts w:hint="default"/>
      </w:rPr>
    </w:lvl>
    <w:lvl w:ilvl="1" w:tplc="B7A6DEDC" w:tentative="1">
      <w:start w:val="1"/>
      <w:numFmt w:val="lowerLetter"/>
      <w:lvlText w:val="%2."/>
      <w:lvlJc w:val="left"/>
      <w:pPr>
        <w:ind w:left="1440" w:hanging="360"/>
      </w:pPr>
    </w:lvl>
    <w:lvl w:ilvl="2" w:tplc="53A201E6" w:tentative="1">
      <w:start w:val="1"/>
      <w:numFmt w:val="lowerRoman"/>
      <w:lvlText w:val="%3."/>
      <w:lvlJc w:val="right"/>
      <w:pPr>
        <w:ind w:left="2160" w:hanging="180"/>
      </w:pPr>
    </w:lvl>
    <w:lvl w:ilvl="3" w:tplc="41B40864" w:tentative="1">
      <w:start w:val="1"/>
      <w:numFmt w:val="decimal"/>
      <w:lvlText w:val="%4."/>
      <w:lvlJc w:val="left"/>
      <w:pPr>
        <w:ind w:left="2880" w:hanging="360"/>
      </w:pPr>
    </w:lvl>
    <w:lvl w:ilvl="4" w:tplc="693EECDE" w:tentative="1">
      <w:start w:val="1"/>
      <w:numFmt w:val="lowerLetter"/>
      <w:lvlText w:val="%5."/>
      <w:lvlJc w:val="left"/>
      <w:pPr>
        <w:ind w:left="3600" w:hanging="360"/>
      </w:pPr>
    </w:lvl>
    <w:lvl w:ilvl="5" w:tplc="9ED845EE" w:tentative="1">
      <w:start w:val="1"/>
      <w:numFmt w:val="lowerRoman"/>
      <w:lvlText w:val="%6."/>
      <w:lvlJc w:val="right"/>
      <w:pPr>
        <w:ind w:left="4320" w:hanging="180"/>
      </w:pPr>
    </w:lvl>
    <w:lvl w:ilvl="6" w:tplc="4D226276" w:tentative="1">
      <w:start w:val="1"/>
      <w:numFmt w:val="decimal"/>
      <w:lvlText w:val="%7."/>
      <w:lvlJc w:val="left"/>
      <w:pPr>
        <w:ind w:left="5040" w:hanging="360"/>
      </w:pPr>
    </w:lvl>
    <w:lvl w:ilvl="7" w:tplc="CAD87464" w:tentative="1">
      <w:start w:val="1"/>
      <w:numFmt w:val="lowerLetter"/>
      <w:lvlText w:val="%8."/>
      <w:lvlJc w:val="left"/>
      <w:pPr>
        <w:ind w:left="5760" w:hanging="360"/>
      </w:pPr>
    </w:lvl>
    <w:lvl w:ilvl="8" w:tplc="A6489436" w:tentative="1">
      <w:start w:val="1"/>
      <w:numFmt w:val="lowerRoman"/>
      <w:lvlText w:val="%9."/>
      <w:lvlJc w:val="right"/>
      <w:pPr>
        <w:ind w:left="6480" w:hanging="180"/>
      </w:pPr>
    </w:lvl>
  </w:abstractNum>
  <w:abstractNum w:abstractNumId="4" w15:restartNumberingAfterBreak="0">
    <w:nsid w:val="4C452A4C"/>
    <w:multiLevelType w:val="hybridMultilevel"/>
    <w:tmpl w:val="EE5E563C"/>
    <w:lvl w:ilvl="0" w:tplc="237C9472">
      <w:start w:val="1"/>
      <w:numFmt w:val="lowerLetter"/>
      <w:lvlText w:val="%1)"/>
      <w:lvlJc w:val="left"/>
      <w:pPr>
        <w:ind w:left="1080" w:hanging="360"/>
      </w:pPr>
      <w:rPr>
        <w:rFonts w:hint="default"/>
        <w:color w:val="000000"/>
      </w:rPr>
    </w:lvl>
    <w:lvl w:ilvl="1" w:tplc="4B2C32A8" w:tentative="1">
      <w:start w:val="1"/>
      <w:numFmt w:val="lowerLetter"/>
      <w:lvlText w:val="%2."/>
      <w:lvlJc w:val="left"/>
      <w:pPr>
        <w:ind w:left="1800" w:hanging="360"/>
      </w:pPr>
    </w:lvl>
    <w:lvl w:ilvl="2" w:tplc="E89A04A2" w:tentative="1">
      <w:start w:val="1"/>
      <w:numFmt w:val="lowerRoman"/>
      <w:lvlText w:val="%3."/>
      <w:lvlJc w:val="right"/>
      <w:pPr>
        <w:ind w:left="2520" w:hanging="180"/>
      </w:pPr>
    </w:lvl>
    <w:lvl w:ilvl="3" w:tplc="3A5E9AB8" w:tentative="1">
      <w:start w:val="1"/>
      <w:numFmt w:val="decimal"/>
      <w:lvlText w:val="%4."/>
      <w:lvlJc w:val="left"/>
      <w:pPr>
        <w:ind w:left="3240" w:hanging="360"/>
      </w:pPr>
    </w:lvl>
    <w:lvl w:ilvl="4" w:tplc="33BC2EF6" w:tentative="1">
      <w:start w:val="1"/>
      <w:numFmt w:val="lowerLetter"/>
      <w:lvlText w:val="%5."/>
      <w:lvlJc w:val="left"/>
      <w:pPr>
        <w:ind w:left="3960" w:hanging="360"/>
      </w:pPr>
    </w:lvl>
    <w:lvl w:ilvl="5" w:tplc="E132FCA2" w:tentative="1">
      <w:start w:val="1"/>
      <w:numFmt w:val="lowerRoman"/>
      <w:lvlText w:val="%6."/>
      <w:lvlJc w:val="right"/>
      <w:pPr>
        <w:ind w:left="4680" w:hanging="180"/>
      </w:pPr>
    </w:lvl>
    <w:lvl w:ilvl="6" w:tplc="693818FC" w:tentative="1">
      <w:start w:val="1"/>
      <w:numFmt w:val="decimal"/>
      <w:lvlText w:val="%7."/>
      <w:lvlJc w:val="left"/>
      <w:pPr>
        <w:ind w:left="5400" w:hanging="360"/>
      </w:pPr>
    </w:lvl>
    <w:lvl w:ilvl="7" w:tplc="BBF8C222" w:tentative="1">
      <w:start w:val="1"/>
      <w:numFmt w:val="lowerLetter"/>
      <w:lvlText w:val="%8."/>
      <w:lvlJc w:val="left"/>
      <w:pPr>
        <w:ind w:left="6120" w:hanging="360"/>
      </w:pPr>
    </w:lvl>
    <w:lvl w:ilvl="8" w:tplc="30F816AA" w:tentative="1">
      <w:start w:val="1"/>
      <w:numFmt w:val="lowerRoman"/>
      <w:lvlText w:val="%9."/>
      <w:lvlJc w:val="right"/>
      <w:pPr>
        <w:ind w:left="6840" w:hanging="180"/>
      </w:pPr>
    </w:lvl>
  </w:abstractNum>
  <w:abstractNum w:abstractNumId="5" w15:restartNumberingAfterBreak="0">
    <w:nsid w:val="729920B9"/>
    <w:multiLevelType w:val="hybridMultilevel"/>
    <w:tmpl w:val="0700DE40"/>
    <w:lvl w:ilvl="0" w:tplc="3CD040A0">
      <w:start w:val="1"/>
      <w:numFmt w:val="lowerLetter"/>
      <w:lvlText w:val="%1)"/>
      <w:lvlJc w:val="left"/>
      <w:pPr>
        <w:ind w:left="1080" w:hanging="360"/>
      </w:pPr>
      <w:rPr>
        <w:rFonts w:hint="default"/>
      </w:rPr>
    </w:lvl>
    <w:lvl w:ilvl="1" w:tplc="8626F61A" w:tentative="1">
      <w:start w:val="1"/>
      <w:numFmt w:val="lowerLetter"/>
      <w:lvlText w:val="%2."/>
      <w:lvlJc w:val="left"/>
      <w:pPr>
        <w:ind w:left="1800" w:hanging="360"/>
      </w:pPr>
    </w:lvl>
    <w:lvl w:ilvl="2" w:tplc="F0E8A6D8" w:tentative="1">
      <w:start w:val="1"/>
      <w:numFmt w:val="lowerRoman"/>
      <w:lvlText w:val="%3."/>
      <w:lvlJc w:val="right"/>
      <w:pPr>
        <w:ind w:left="2520" w:hanging="180"/>
      </w:pPr>
    </w:lvl>
    <w:lvl w:ilvl="3" w:tplc="33A6C086" w:tentative="1">
      <w:start w:val="1"/>
      <w:numFmt w:val="decimal"/>
      <w:lvlText w:val="%4."/>
      <w:lvlJc w:val="left"/>
      <w:pPr>
        <w:ind w:left="3240" w:hanging="360"/>
      </w:pPr>
    </w:lvl>
    <w:lvl w:ilvl="4" w:tplc="79821194" w:tentative="1">
      <w:start w:val="1"/>
      <w:numFmt w:val="lowerLetter"/>
      <w:lvlText w:val="%5."/>
      <w:lvlJc w:val="left"/>
      <w:pPr>
        <w:ind w:left="3960" w:hanging="360"/>
      </w:pPr>
    </w:lvl>
    <w:lvl w:ilvl="5" w:tplc="B0FADA6E" w:tentative="1">
      <w:start w:val="1"/>
      <w:numFmt w:val="lowerRoman"/>
      <w:lvlText w:val="%6."/>
      <w:lvlJc w:val="right"/>
      <w:pPr>
        <w:ind w:left="4680" w:hanging="180"/>
      </w:pPr>
    </w:lvl>
    <w:lvl w:ilvl="6" w:tplc="28384478" w:tentative="1">
      <w:start w:val="1"/>
      <w:numFmt w:val="decimal"/>
      <w:lvlText w:val="%7."/>
      <w:lvlJc w:val="left"/>
      <w:pPr>
        <w:ind w:left="5400" w:hanging="360"/>
      </w:pPr>
    </w:lvl>
    <w:lvl w:ilvl="7" w:tplc="0D2CC1C8" w:tentative="1">
      <w:start w:val="1"/>
      <w:numFmt w:val="lowerLetter"/>
      <w:lvlText w:val="%8."/>
      <w:lvlJc w:val="left"/>
      <w:pPr>
        <w:ind w:left="6120" w:hanging="360"/>
      </w:pPr>
    </w:lvl>
    <w:lvl w:ilvl="8" w:tplc="A8D0E5AE"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B42"/>
    <w:rsid w:val="000117D8"/>
    <w:rsid w:val="000237C7"/>
    <w:rsid w:val="00031799"/>
    <w:rsid w:val="00072711"/>
    <w:rsid w:val="001103D4"/>
    <w:rsid w:val="0015632D"/>
    <w:rsid w:val="00182C94"/>
    <w:rsid w:val="002147D0"/>
    <w:rsid w:val="00250BAC"/>
    <w:rsid w:val="002542A5"/>
    <w:rsid w:val="00287E70"/>
    <w:rsid w:val="002C55D2"/>
    <w:rsid w:val="00304341"/>
    <w:rsid w:val="00381631"/>
    <w:rsid w:val="003A02CA"/>
    <w:rsid w:val="003E7871"/>
    <w:rsid w:val="00410044"/>
    <w:rsid w:val="0048760B"/>
    <w:rsid w:val="00553A9B"/>
    <w:rsid w:val="00573513"/>
    <w:rsid w:val="00587705"/>
    <w:rsid w:val="005963F0"/>
    <w:rsid w:val="005D4120"/>
    <w:rsid w:val="00603EFF"/>
    <w:rsid w:val="00651161"/>
    <w:rsid w:val="00652D7A"/>
    <w:rsid w:val="0069152D"/>
    <w:rsid w:val="006E0AD4"/>
    <w:rsid w:val="006E5861"/>
    <w:rsid w:val="00706D5E"/>
    <w:rsid w:val="007236BB"/>
    <w:rsid w:val="00726240"/>
    <w:rsid w:val="007364F5"/>
    <w:rsid w:val="0077694C"/>
    <w:rsid w:val="00790A5A"/>
    <w:rsid w:val="0079613F"/>
    <w:rsid w:val="007A3FBC"/>
    <w:rsid w:val="00817E90"/>
    <w:rsid w:val="00835009"/>
    <w:rsid w:val="00891291"/>
    <w:rsid w:val="008A4FDD"/>
    <w:rsid w:val="008C2732"/>
    <w:rsid w:val="008D3B42"/>
    <w:rsid w:val="00904DA9"/>
    <w:rsid w:val="00915BE5"/>
    <w:rsid w:val="00922819"/>
    <w:rsid w:val="009A258A"/>
    <w:rsid w:val="00A15266"/>
    <w:rsid w:val="00A7788E"/>
    <w:rsid w:val="00AF3DA2"/>
    <w:rsid w:val="00B07768"/>
    <w:rsid w:val="00B25534"/>
    <w:rsid w:val="00B43A5D"/>
    <w:rsid w:val="00C61F9E"/>
    <w:rsid w:val="00CA68E0"/>
    <w:rsid w:val="00D21EA5"/>
    <w:rsid w:val="00D51330"/>
    <w:rsid w:val="00D72959"/>
    <w:rsid w:val="00D835D4"/>
    <w:rsid w:val="00DC3932"/>
    <w:rsid w:val="00E537A1"/>
    <w:rsid w:val="00E653D5"/>
    <w:rsid w:val="00ED55F0"/>
    <w:rsid w:val="00EF4B6A"/>
    <w:rsid w:val="00F11DA1"/>
    <w:rsid w:val="00F40B67"/>
    <w:rsid w:val="00F44C0C"/>
    <w:rsid w:val="00F53413"/>
    <w:rsid w:val="00F65FAC"/>
    <w:rsid w:val="00FC6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9DEF1"/>
  <w15:chartTrackingRefBased/>
  <w15:docId w15:val="{2108C453-6AB6-4C09-A004-1006BB205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78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7871"/>
    <w:rPr>
      <w:color w:val="0000FF"/>
      <w:u w:val="single"/>
    </w:rPr>
  </w:style>
  <w:style w:type="paragraph" w:styleId="ListParagraph">
    <w:name w:val="List Paragraph"/>
    <w:basedOn w:val="Normal"/>
    <w:uiPriority w:val="34"/>
    <w:qFormat/>
    <w:rsid w:val="00F44C0C"/>
    <w:pPr>
      <w:ind w:left="720"/>
      <w:contextualSpacing/>
    </w:pPr>
  </w:style>
  <w:style w:type="paragraph" w:styleId="Header">
    <w:name w:val="header"/>
    <w:basedOn w:val="Normal"/>
    <w:link w:val="HeaderChar"/>
    <w:uiPriority w:val="99"/>
    <w:unhideWhenUsed/>
    <w:rsid w:val="00E65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3D5"/>
  </w:style>
  <w:style w:type="paragraph" w:styleId="Footer">
    <w:name w:val="footer"/>
    <w:basedOn w:val="Normal"/>
    <w:link w:val="FooterChar"/>
    <w:uiPriority w:val="99"/>
    <w:unhideWhenUsed/>
    <w:rsid w:val="00E65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8</cp:revision>
  <dcterms:created xsi:type="dcterms:W3CDTF">2020-03-30T16:34:00Z</dcterms:created>
  <dcterms:modified xsi:type="dcterms:W3CDTF">2020-03-30T16:49:00Z</dcterms:modified>
</cp:coreProperties>
</file>